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bookmarkStart w:id="0" w:name="_GoBack"/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2017-2018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bookmarkEnd w:id="0"/>
    <w:p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</w:p>
    <w:p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2017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 </w:t>
      </w:r>
      <w:r>
        <w:rPr>
          <w:rFonts w:ascii="Times New Roman" w:eastAsia="楷体_GB2312" w:hAnsi="Times New Roman"/>
          <w:b/>
          <w:sz w:val="24"/>
        </w:rPr>
        <w:t>非全日制教育硕士</w:t>
      </w:r>
      <w:r>
        <w:rPr>
          <w:rFonts w:ascii="Times New Roman" w:eastAsia="楷体_GB2312" w:hAnsi="Times New Roman"/>
          <w:b/>
          <w:sz w:val="24"/>
        </w:rPr>
        <w:t xml:space="preserve">                                                            </w:t>
      </w:r>
      <w:r>
        <w:rPr>
          <w:rFonts w:ascii="Times New Roman" w:eastAsia="楷体_GB2312" w:hAnsi="Times New Roman"/>
          <w:b/>
        </w:rPr>
        <w:t xml:space="preserve">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2018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3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369"/>
        <w:gridCol w:w="711"/>
        <w:gridCol w:w="691"/>
        <w:gridCol w:w="1263"/>
        <w:gridCol w:w="5739"/>
        <w:gridCol w:w="2032"/>
      </w:tblGrid>
      <w:tr w:rsidR="00832C0B" w:rsidTr="000F648B">
        <w:trPr>
          <w:trHeight w:val="743"/>
          <w:jc w:val="center"/>
        </w:trPr>
        <w:tc>
          <w:tcPr>
            <w:tcW w:w="2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57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授课对象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授课地点</w:t>
            </w:r>
          </w:p>
        </w:tc>
      </w:tr>
      <w:tr w:rsidR="00832C0B" w:rsidTr="000F648B">
        <w:trPr>
          <w:trHeight w:val="736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</w:t>
            </w:r>
          </w:p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马克思主义学院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英语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20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101</w:t>
            </w:r>
          </w:p>
        </w:tc>
      </w:tr>
      <w:tr w:rsidR="00832C0B" w:rsidTr="000F648B">
        <w:trPr>
          <w:trHeight w:val="736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1"/>
              </w:rPr>
              <w:t>马克思主义学院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英语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20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101</w:t>
            </w:r>
          </w:p>
        </w:tc>
      </w:tr>
      <w:tr w:rsidR="00832C0B" w:rsidTr="000F648B">
        <w:trPr>
          <w:trHeight w:val="736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</w:rPr>
              <w:t>范庭卫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语文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9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，物理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8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，英语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20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，教育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3/40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101</w:t>
            </w:r>
          </w:p>
        </w:tc>
      </w:tr>
      <w:tr w:rsidR="00832C0B" w:rsidTr="000F648B">
        <w:trPr>
          <w:trHeight w:val="736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</w:rPr>
              <w:t>黄启兵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语文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9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，物理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8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，英语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20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，教育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3/40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101</w:t>
            </w:r>
          </w:p>
        </w:tc>
      </w:tr>
      <w:tr w:rsidR="00832C0B" w:rsidTr="000F648B">
        <w:trPr>
          <w:trHeight w:val="736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color w:val="000000"/>
              </w:rPr>
              <w:t>肖卫兵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语文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9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，物理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8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，英语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20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，教育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3/40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101</w:t>
            </w:r>
          </w:p>
        </w:tc>
      </w:tr>
      <w:tr w:rsidR="00832C0B" w:rsidTr="000F648B">
        <w:trPr>
          <w:trHeight w:val="736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/>
                <w:color w:val="000000"/>
              </w:rPr>
              <w:t>赵蒙成</w:t>
            </w:r>
            <w:proofErr w:type="gramEnd"/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  <w:highlight w:val="yellow"/>
              </w:rPr>
            </w:pP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语文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9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，物理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8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，英语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20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，教育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3/40</w:t>
            </w:r>
            <w:r>
              <w:rPr>
                <w:rFonts w:ascii="Times New Roman" w:hAnsi="Times New Roman" w:hint="eastAsia"/>
                <w:color w:val="000000"/>
                <w:spacing w:val="-10"/>
                <w:sz w:val="22"/>
                <w:szCs w:val="18"/>
              </w:rPr>
              <w:t>人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101</w:t>
            </w:r>
          </w:p>
        </w:tc>
      </w:tr>
      <w:tr w:rsidR="00832C0B" w:rsidTr="000F648B">
        <w:trPr>
          <w:trHeight w:val="1144"/>
          <w:jc w:val="center"/>
        </w:trPr>
        <w:tc>
          <w:tcPr>
            <w:tcW w:w="5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备注栏</w:t>
            </w:r>
          </w:p>
        </w:tc>
        <w:tc>
          <w:tcPr>
            <w:tcW w:w="1280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lef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、非全日制教育硕士暑期课程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10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日开始，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31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日结束。</w:t>
            </w:r>
          </w:p>
          <w:p w:rsidR="00832C0B" w:rsidRDefault="00832C0B" w:rsidP="000F648B">
            <w:pPr>
              <w:jc w:val="left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、非全日制教育硕士暑期课程考核方式为随堂考。</w:t>
            </w:r>
          </w:p>
        </w:tc>
      </w:tr>
    </w:tbl>
    <w:p w:rsidR="00832C0B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p w:rsidR="00832C0B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  <w:r>
        <w:rPr>
          <w:rFonts w:ascii="Times New Roman" w:eastAsia="黑体" w:hAnsi="Times New Roman"/>
          <w:color w:val="000000"/>
          <w:sz w:val="24"/>
        </w:rPr>
        <w:br w:type="page"/>
      </w:r>
      <w:r>
        <w:rPr>
          <w:rFonts w:ascii="Times New Roman" w:eastAsia="黑体" w:hAnsi="Times New Roman" w:hint="eastAsia"/>
          <w:color w:val="000000"/>
          <w:sz w:val="24"/>
        </w:rPr>
        <w:lastRenderedPageBreak/>
        <w:t>暑期</w:t>
      </w:r>
      <w:r>
        <w:rPr>
          <w:rFonts w:ascii="Times New Roman" w:eastAsia="黑体" w:hAnsi="Times New Roman"/>
          <w:color w:val="000000"/>
          <w:sz w:val="24"/>
        </w:rPr>
        <w:t>公共课程上课</w:t>
      </w:r>
      <w:r>
        <w:rPr>
          <w:rFonts w:ascii="Times New Roman" w:eastAsia="黑体" w:hAnsi="Times New Roman" w:hint="eastAsia"/>
          <w:color w:val="000000"/>
          <w:sz w:val="24"/>
        </w:rPr>
        <w:t>具体</w:t>
      </w:r>
      <w:r>
        <w:rPr>
          <w:rFonts w:ascii="Times New Roman" w:eastAsia="黑体" w:hAnsi="Times New Roman"/>
          <w:color w:val="000000"/>
          <w:sz w:val="24"/>
        </w:rPr>
        <w:t>时间安排：</w:t>
      </w:r>
    </w:p>
    <w:p w:rsidR="00832C0B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686"/>
        <w:gridCol w:w="3237"/>
      </w:tblGrid>
      <w:tr w:rsidR="00832C0B" w:rsidTr="000F648B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13:00-17:00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18:00-20:50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马克思主义与科学方法论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32C0B" w:rsidTr="000F648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0B" w:rsidRDefault="00832C0B" w:rsidP="000F648B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32C0B" w:rsidRDefault="00832C0B" w:rsidP="00832C0B">
      <w:pPr>
        <w:tabs>
          <w:tab w:val="left" w:pos="1320"/>
        </w:tabs>
        <w:rPr>
          <w:rFonts w:ascii="Times New Roman" w:hAnsi="Times New Roman"/>
        </w:rPr>
      </w:pPr>
    </w:p>
    <w:p w:rsidR="00B7700E" w:rsidRDefault="00B7700E"/>
    <w:sectPr w:rsidR="00B7700E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0B"/>
    <w:rsid w:val="00832C0B"/>
    <w:rsid w:val="00B7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52CAF-7D18-463A-B401-9E29F91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> 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刘遥</dc:creator>
  <cp:keywords/>
  <dc:description/>
  <cp:lastModifiedBy>刘遥</cp:lastModifiedBy>
  <cp:revision>1</cp:revision>
  <dcterms:created xsi:type="dcterms:W3CDTF">2018-05-10T07:07:00Z</dcterms:created>
  <dcterms:modified xsi:type="dcterms:W3CDTF">2018-05-10T07:07:00Z</dcterms:modified>
</cp:coreProperties>
</file>